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Artivismos Urbanos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Programa: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Módulo I – Muito além das Distopias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Módulo II – Controvérsias envolvendo Artivismos (Pós e Trans) Gêneros e/ou Raciais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Módulo III – Ressignificações potentes dos Artivismos Urbanos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Ementa: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articulação entre arte e política estreita-se fortemente hoje: pode-se dizer que há um “artivismo” bastante presente, o qual se constitui de certa maneira em um </w:t>
      </w:r>
      <w:r w:rsidDel="00000000" w:rsidR="00000000" w:rsidRPr="00000000">
        <w:rPr>
          <w:i w:val="1"/>
          <w:rtl w:val="0"/>
        </w:rPr>
        <w:t xml:space="preserve">zeitgeist</w:t>
      </w:r>
      <w:r w:rsidDel="00000000" w:rsidR="00000000" w:rsidRPr="00000000">
        <w:rPr>
          <w:rtl w:val="0"/>
        </w:rPr>
        <w:t xml:space="preserve">, caracterizando a ambiência artístico-intelectual da última década. Busca-se nessa disciplina repensar a necessidade de reflexões e participações em uma época em que a vida em geral está sendo profundamente afetada por inúmeros e graves desequilíbrios, precariedades, ódios e autoritarismos. Como compreender a complexidade desse novo contexto de polarização e de abjeção ao </w:t>
      </w:r>
      <w:r w:rsidDel="00000000" w:rsidR="00000000" w:rsidRPr="00000000">
        <w:rPr>
          <w:i w:val="1"/>
          <w:rtl w:val="0"/>
        </w:rPr>
        <w:t xml:space="preserve">outro</w:t>
      </w:r>
      <w:r w:rsidDel="00000000" w:rsidR="00000000" w:rsidRPr="00000000">
        <w:rPr>
          <w:rtl w:val="0"/>
        </w:rPr>
        <w:t xml:space="preserve"> crescente, não só no Brasil, mas de modo geral no mundo? Qual vem sendo o papel da arte mais engajada nessa nova ambiência contemporânea: seja nos agenciamentos de linguagens e de performances, seja nas mobilizações sociais e/ou nos debates acalorados? Nesse contexto, chama a atenção a presença mais acentuada não só de atores precarizados em alianças que vêm construindo heterotopias e/ou territorialidades, mas também de corpos remixados e hackeados, os quais produzem tensionamentos e dissidências com o biopoder vigente.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Repensar a relevância das pequenas “táticas e astúcias” artivistas e cotidianas empreendidas pelos atores. Multidão mobilizada em dinâmicas rizomáticas e agenciamento da arte contribuindo na construção de dissensos e partilhas do sensível. Tendências da dinâmica da vida pública sinalizando não só para a crise da arena e imaginário político tradicional. Balanço dos agenciamentos difusos construídos pelos atores e problematização da polissemia da noção e neologismo “artivismo”.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Na atualidade, o “artivismo” transita intensamente pelas ambiências urbanas e digitais, pelos campos políticos e socioculturais, questionando institucionalidades e cânones do mundo atual. Poder-se-ia afirmar que o desafio de repensar os ativismos artísticos é que essas não se prestam a ser analisadas exclusivamente nem sob o critério exclusivo de sua dimensão política e nem apenas de uma perspectiva que enfatize apenas os seus aspectos artísticos. Ao longo do curso se analisará alguns estudos de caso envolvendo: a) ressignificações e agenciamentos potentes de iniciativas artivistas nos espaços urbanos; b) e controvérsias artivistas relacionadas a importantes questões de (pós e trans) gêneros e raciais.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Bibliografia básica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BUTLER, Judith.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Corpos em aliança e a política das ruas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Rio de Janeiro: Civilização Brasileira, 2018.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DIDI-HUBERMAN, Georges (org.). </w:t>
      </w:r>
      <w:r w:rsidDel="00000000" w:rsidR="00000000" w:rsidRPr="00000000">
        <w:rPr>
          <w:i w:val="1"/>
          <w:rtl w:val="0"/>
        </w:rPr>
        <w:t xml:space="preserve">Levantes</w:t>
      </w:r>
      <w:r w:rsidDel="00000000" w:rsidR="00000000" w:rsidRPr="00000000">
        <w:rPr>
          <w:rtl w:val="0"/>
        </w:rPr>
        <w:t xml:space="preserve">. São Paulo: SESC, 2017.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DI GIOVANNI, Julia R.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Artes do impossível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color w:val="222222"/>
          <w:highlight w:val="white"/>
          <w:rtl w:val="0"/>
        </w:rPr>
        <w:t xml:space="preserve"> São Paulo: Annablume,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 GIOVANNI, Julia R. Artes de abrir espaço. 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Cadernos de Arte e Antropologia</w:t>
      </w:r>
      <w:r w:rsidDel="00000000" w:rsidR="00000000" w:rsidRPr="00000000">
        <w:rPr>
          <w:color w:val="222222"/>
          <w:highlight w:val="white"/>
          <w:rtl w:val="0"/>
        </w:rPr>
        <w:t xml:space="preserve">, v. 4, n. 2, p. 13-27, 2015.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FERNANDES, Cíntia S.; HERSCHMANN, Micael. Músicas, sons e dissensos. </w:t>
      </w:r>
      <w:r w:rsidDel="00000000" w:rsidR="00000000" w:rsidRPr="00000000">
        <w:rPr>
          <w:i w:val="1"/>
          <w:highlight w:val="white"/>
          <w:rtl w:val="0"/>
        </w:rPr>
        <w:t xml:space="preserve">Matrizes</w:t>
      </w:r>
      <w:r w:rsidDel="00000000" w:rsidR="00000000" w:rsidRPr="00000000">
        <w:rPr>
          <w:highlight w:val="white"/>
          <w:rtl w:val="0"/>
        </w:rPr>
        <w:t xml:space="preserve">. São Paulo: USP, v. 14, n. 2, p. 163-179, 2020.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HARAWAY, Donna J.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Seguir con el problema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Bilbao: Edición Consonni, 2019.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HERSCHMANN, Micael; FERNANDES, Cíntia 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Música nas ruas do Rio de Janeiro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Ed. Intercom, 2014.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HERSCHMANN, Micael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(orgs.).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A(r)tivismos Urbanos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(sobre)vivendo em Tempos de Urgência.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Porto Alegre: Sulina,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KIFFER, Ana; GIORGI, Gabriel.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Ódios políticos e Política do Ódio.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Rio de Janeiro: Bazar do Tempo, 2019.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MBEMBE, Achille.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Políticas da Inimizade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N1-Edições, 2020.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MESQUITA, André </w:t>
      </w:r>
      <w:r w:rsidDel="00000000" w:rsidR="00000000" w:rsidRPr="00000000">
        <w:rPr>
          <w:i w:val="1"/>
          <w:rtl w:val="0"/>
        </w:rPr>
        <w:t xml:space="preserve">et al</w:t>
      </w:r>
      <w:r w:rsidDel="00000000" w:rsidR="00000000" w:rsidRPr="00000000">
        <w:rPr>
          <w:rtl w:val="0"/>
        </w:rPr>
        <w:t xml:space="preserve">. (orgs.). </w:t>
      </w:r>
      <w:r w:rsidDel="00000000" w:rsidR="00000000" w:rsidRPr="00000000">
        <w:rPr>
          <w:i w:val="1"/>
          <w:rtl w:val="0"/>
        </w:rPr>
        <w:t xml:space="preserve">Arte e Ativismo</w:t>
      </w:r>
      <w:r w:rsidDel="00000000" w:rsidR="00000000" w:rsidRPr="00000000">
        <w:rPr>
          <w:rtl w:val="0"/>
        </w:rPr>
        <w:t xml:space="preserve">. São Paulo: MASP/Afterall, 2021.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MESQUITA, André. </w:t>
      </w:r>
      <w:r w:rsidDel="00000000" w:rsidR="00000000" w:rsidRPr="00000000">
        <w:rPr>
          <w:i w:val="1"/>
          <w:rtl w:val="0"/>
        </w:rPr>
        <w:t xml:space="preserve">Insurgências Poéticas</w:t>
      </w:r>
      <w:r w:rsidDel="00000000" w:rsidR="00000000" w:rsidRPr="00000000">
        <w:rPr>
          <w:rtl w:val="0"/>
        </w:rPr>
        <w:t xml:space="preserve">. São Paulo: Annablume, 2011.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RANCIÈRE, Jacques.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desentendimento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São Paulo: Ed. 34, 1996.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RANCIÈRE, Jacques. </w:t>
      </w:r>
      <w:r w:rsidDel="00000000" w:rsidR="00000000" w:rsidRPr="00000000">
        <w:rPr>
          <w:i w:val="1"/>
          <w:rtl w:val="0"/>
        </w:rPr>
        <w:t xml:space="preserve">A partilha do sensível. </w:t>
      </w:r>
      <w:r w:rsidDel="00000000" w:rsidR="00000000" w:rsidRPr="00000000">
        <w:rPr>
          <w:rtl w:val="0"/>
        </w:rPr>
        <w:t xml:space="preserve">São Paulo: Ed. 34, 2009.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ROCHA, Rose de Melo. Artivismos Musicais de Gênero e suas Interfaces Comunicacionais.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 do 42º Congresso Brasileiro de Ciências da Comunicação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Intercom, 2019.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group id="Tela 2" style="width:528pt;height:135.15pt;mso-position-horizontal-relative:char;mso-position-vertical-relative:line" coordsize="67056,17164" o:spid="_x0000_s1026" editas="canvas"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 id="_x0000_s1027" style="position:absolute;width:67056;height:17164;visibility:visible;mso-wrap-style:square" type="#_x0000_t75">
            <v:fill angle="180" o:detectmouseclick="t"/>
            <v:path o:connecttype="none"/>
          </v:shape>
          <v:shapetype id="_x0000_t202" coordsize="21600,21600" o:spt="202.0" path="m,l,21600r21600,l21600,xe">
            <v:stroke joinstyle="miter"/>
            <v:path o:connecttype="rect" gradientshapeok="t"/>
          </v:shapetype>
          <v:shape id=" 3" style="position:absolute;width:66291;height:13540;visibility:visible;mso-wrap-style:square;v-text-anchor:top" o:spid="_x0000_s1028" type="#_x0000_t202" o:gfxdata="UEsDBBQABgAIAAAAIQCcrWMz7wAAAIgBAAATAAAAW0NvbnRlbnRfVHlwZXNdLnhtbHyQTU7EMAxG &#10;90jcIfIWtSksEELTzoLCEhAaDmAlbhtN60RxKDO3J+0ACwQs/fP5PXmzPUyjmimK81zDZVmBIjbe &#10;Ou5reN09FDegJCFbHD1TDUcS2DbnZ5vdMZConGapYUgp3GotZqAJpfSBOE86HydMuYy9Dmj22JO+ &#10;qqprbTwn4lSk5QY0m5Y6fBuTuj/k9skk0iig7k6LC6sGDGF0BlM21TPbH5Tik1Dm5LojgwtykTVA &#10;6V8R6+hPwlfwKT8nOkvqGWN6xCmLaBtFW//Okeby/yuL5ySF7zpnqGyjtDn2QvO3l17/2HwAAAD/ &#10;/wMAUEsDBBQABgAIAAAAIQBR5/GmvwAAABYBAAALAAAAX3JlbHMvLnJlbHNsz8FqwzAMBuD7YO9g &#10;dF+U7lDGiNNbodfSPoCxlcQstoxksvXtZ3pqx46S+D9Jw+EnrWYj0cjZwq7rwVD2HGKeLVwvx7cP &#10;MFpdDm7lTBZupHAYX1+GM62utpAusahpSlYLS63lE1H9Qslpx4Vym0wsydVWyozF+S83E773/R7l &#10;0YDxyTSnYEFOYQfmcitt8x87RS+sPNXOc0Kepuj/UzHwdz7T1hQnM1ULQfTeFNq6dhwYHAd8+mb8 &#10;BQAA//8DAFBLAwQUAAYACAAAACEAiZTrIMQAAADgAAAADwAAAGRycy9kb3ducmV2LnhtbESP0YrC &#10;MBBF3wX/IczCvmm6yopUo6yKICKI1g8YmrGp20xKE7X792ZF8GWG4XLPcKbz1lbiRo0vHSv46icg &#10;iHOnSy4UnLJ1bwzCB2SNlWNS8Ece5rNuZ4qpdnc+0O0YChEh7FNUYEKoUyl9bsii77uaOGZn11gM &#10;8WwKqRu8R7it5CBJRtJiyfGDwZqWhvLf49UqWF2G+xOXRtt6uNlm2a793suFUp8f7WoSx88ERKA2 &#10;vBsvxEZHB/j3eW45ewAAAP//AwBQSwECLQAUAAYACAAAACEAnK1jM+8AAACIAQAAEwAAAAAAAAAA &#10;AAAAAAAAAAAAW0NvbnRlbnRfVHlwZXNdLnhtbFBLAQItABQABgAIAAAAIQBR5/GmvwAAABYBAAAL &#10;AAAAAAAAAAAAAAAAACABAABfcmVscy8ucmVsc1BLAQItABQABgAIAAAAIQCJlOsgxAAAAOAAAAAP &#10;AAAAAAAAAAAAAAAAAAgCAABkcnMvZG93bnJldi54bWxQSwUGAAAAAAMAAwC3AAAA+QIAAAAA &#10;">
            <v:path arrowok="t"/>
            <v:textbox>
              <w:txbxContent>
                <w:p w:rsidR="00496568" w:rsidDel="00000000" w:rsidP="00000000" w:rsidRDefault="00496568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>Universidade Federal do Rio de Janeiro</w:t>
                  </w:r>
                  <w:r w:rsidDel="00000000" w:rsidR="00990FB4" w:rsidRPr="00E602AE">
                    <w:rPr>
                      <w:bCs w:val="1"/>
                    </w:rPr>
                    <w:t xml:space="preserve"> /Universidade do Estado do Rio de Janeiro</w:t>
                  </w:r>
                </w:p>
                <w:p w:rsidR="00496568" w:rsidDel="00000000" w:rsidP="00000000" w:rsidRDefault="00496568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>Programa de Pós-Graduação em Comunicação</w:t>
                  </w:r>
                </w:p>
                <w:p w:rsidR="00E66B65" w:rsidDel="00000000" w:rsidP="00000000" w:rsidRDefault="003A4D90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>Prof</w:t>
                  </w:r>
                  <w:r w:rsidDel="00000000" w:rsidR="007D5886" w:rsidRPr="00E602AE">
                    <w:rPr>
                      <w:bCs w:val="1"/>
                    </w:rPr>
                    <w:t>essor</w:t>
                  </w:r>
                  <w:r w:rsidDel="00000000" w:rsidR="003B465D" w:rsidRPr="00E602AE">
                    <w:rPr>
                      <w:bCs w:val="1"/>
                    </w:rPr>
                    <w:t>es</w:t>
                  </w:r>
                  <w:r w:rsidDel="00000000" w:rsidR="00496568" w:rsidRPr="00E602AE">
                    <w:rPr>
                      <w:bCs w:val="1"/>
                    </w:rPr>
                    <w:t>:</w:t>
                  </w:r>
                  <w:r w:rsidDel="00000000" w:rsidR="008713BF" w:rsidRPr="00E602AE">
                    <w:rPr>
                      <w:bCs w:val="1"/>
                    </w:rPr>
                    <w:t xml:space="preserve"> </w:t>
                  </w:r>
                  <w:r w:rsidDel="00000000" w:rsidR="003B465D" w:rsidRPr="00E602AE">
                    <w:rPr>
                      <w:bCs w:val="1"/>
                    </w:rPr>
                    <w:t xml:space="preserve">Cíntia Sanmartin Fernandes (UERJ); </w:t>
                  </w:r>
                  <w:r w:rsidDel="00000000" w:rsidR="00E66B65" w:rsidRPr="00E602AE">
                    <w:rPr>
                      <w:bCs w:val="1"/>
                    </w:rPr>
                    <w:t>Micael Herschmann (UFRJ</w:t>
                  </w:r>
                  <w:r w:rsidDel="00000000" w:rsidR="007D5886" w:rsidRPr="00E602AE">
                    <w:rPr>
                      <w:bCs w:val="1"/>
                    </w:rPr>
                    <w:t>)</w:t>
                  </w:r>
                </w:p>
                <w:p w:rsidR="00B5046F" w:rsidDel="00000000" w:rsidP="00000000" w:rsidRDefault="00E66B65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 xml:space="preserve">Carga Horária: </w:t>
                  </w:r>
                  <w:r w:rsidDel="00000000" w:rsidR="00B5046F" w:rsidRPr="00E602AE">
                    <w:rPr>
                      <w:bCs w:val="1"/>
                    </w:rPr>
                    <w:t>6</w:t>
                  </w:r>
                  <w:r w:rsidDel="00000000" w:rsidR="007D5886" w:rsidRPr="00E602AE">
                    <w:rPr>
                      <w:bCs w:val="1"/>
                    </w:rPr>
                    <w:t>0</w:t>
                  </w:r>
                  <w:r w:rsidDel="00000000" w:rsidR="00000000" w:rsidRPr="00E602AE">
                    <w:rPr>
                      <w:bCs w:val="1"/>
                    </w:rPr>
                    <w:t xml:space="preserve"> horas/</w:t>
                  </w:r>
                  <w:r w:rsidDel="00000000" w:rsidR="00496568" w:rsidRPr="00E602AE">
                    <w:rPr>
                      <w:bCs w:val="1"/>
                    </w:rPr>
                    <w:t>aula</w:t>
                  </w:r>
                  <w:r w:rsidDel="00000000" w:rsidR="00B5046F" w:rsidRPr="00E602AE">
                    <w:rPr>
                      <w:bCs w:val="1"/>
                    </w:rPr>
                    <w:t xml:space="preserve"> </w:t>
                  </w:r>
                </w:p>
                <w:p w:rsidR="008713BF" w:rsidDel="00000000" w:rsidP="00000000" w:rsidRDefault="00B5046F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>Horário: Quarta-feira, 15</w:t>
                  </w:r>
                  <w:r w:rsidDel="00000000" w:rsidR="0021763F" w:rsidRPr="00000000">
                    <w:rPr>
                      <w:bCs w:val="1"/>
                    </w:rPr>
                    <w:t xml:space="preserve"> </w:t>
                  </w:r>
                  <w:r w:rsidDel="00000000" w:rsidR="00000000" w:rsidRPr="00E602AE">
                    <w:rPr>
                      <w:bCs w:val="1"/>
                    </w:rPr>
                    <w:t>horas</w:t>
                  </w:r>
                </w:p>
                <w:p w:rsidR="001646E8" w:rsidDel="00000000" w:rsidP="00000000" w:rsidRDefault="001646E8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 xml:space="preserve">Curso: </w:t>
                  </w:r>
                  <w:r w:rsidDel="00000000" w:rsidR="00A35269" w:rsidRPr="00E602AE">
                    <w:rPr>
                      <w:bCs w:val="1"/>
                    </w:rPr>
                    <w:t>M</w:t>
                  </w:r>
                  <w:r w:rsidDel="00000000" w:rsidR="00C20F19" w:rsidRPr="00E602AE">
                    <w:rPr>
                      <w:bCs w:val="1"/>
                    </w:rPr>
                    <w:t>e</w:t>
                  </w:r>
                  <w:r w:rsidDel="00000000" w:rsidR="00A35269" w:rsidRPr="00E602AE">
                    <w:rPr>
                      <w:bCs w:val="1"/>
                    </w:rPr>
                    <w:t>s</w:t>
                  </w:r>
                  <w:r w:rsidDel="00000000" w:rsidR="00C20F19" w:rsidRPr="00E602AE">
                    <w:rPr>
                      <w:bCs w:val="1"/>
                    </w:rPr>
                    <w:t>trado</w:t>
                  </w:r>
                  <w:r w:rsidDel="00000000" w:rsidR="00A35269" w:rsidRPr="00E602AE">
                    <w:rPr>
                      <w:bCs w:val="1"/>
                    </w:rPr>
                    <w:t xml:space="preserve"> e </w:t>
                  </w:r>
                  <w:r w:rsidDel="00000000" w:rsidR="00C20F19" w:rsidRPr="00E602AE">
                    <w:rPr>
                      <w:bCs w:val="1"/>
                    </w:rPr>
                    <w:t>D</w:t>
                  </w:r>
                  <w:r w:rsidDel="00000000" w:rsidR="00A35269" w:rsidRPr="00E602AE">
                    <w:rPr>
                      <w:bCs w:val="1"/>
                    </w:rPr>
                    <w:t>out</w:t>
                  </w:r>
                  <w:r w:rsidDel="00000000" w:rsidR="00C20F19" w:rsidRPr="00E602AE">
                    <w:rPr>
                      <w:bCs w:val="1"/>
                    </w:rPr>
                    <w:t>orado</w:t>
                  </w:r>
                </w:p>
                <w:p w:rsidR="00990FB4" w:rsidDel="00000000" w:rsidP="00000000" w:rsidRDefault="00990FB4" w:rsidRPr="00E602AE">
                  <w:pPr>
                    <w:rPr>
                      <w:bCs w:val="1"/>
                    </w:rPr>
                  </w:pPr>
                  <w:r w:rsidDel="00000000" w:rsidR="00000000" w:rsidRPr="00E602AE">
                    <w:rPr>
                      <w:bCs w:val="1"/>
                    </w:rPr>
                    <w:t>Vagas: 1</w:t>
                  </w:r>
                  <w:r w:rsidDel="00000000" w:rsidR="00AD7337" w:rsidRPr="00000000">
                    <w:rPr>
                      <w:bCs w:val="1"/>
                    </w:rPr>
                    <w:t>0</w:t>
                  </w:r>
                  <w:r w:rsidDel="00000000" w:rsidR="00000000" w:rsidRPr="00E602AE">
                    <w:rPr>
                      <w:bCs w:val="1"/>
                    </w:rPr>
                    <w:t xml:space="preserve"> alunos da UERJ e </w:t>
                  </w:r>
                  <w:r w:rsidDel="00000000" w:rsidR="00AD7337" w:rsidRPr="00000000">
                    <w:rPr>
                      <w:bCs w:val="1"/>
                    </w:rPr>
                    <w:t>10</w:t>
                  </w:r>
                  <w:r w:rsidDel="00000000" w:rsidR="00000000" w:rsidRPr="00E602AE">
                    <w:rPr>
                      <w:bCs w:val="1"/>
                    </w:rPr>
                    <w:t xml:space="preserve"> alunos da UFRJ</w:t>
                  </w:r>
                </w:p>
              </w:txbxContent>
            </v:textbox>
          </v:shape>
          <w10:anchorlock/>
        </v:group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